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BF9D5">
      <w:pPr>
        <w:jc w:val="center"/>
        <w:rPr>
          <w:rFonts w:hint="default"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医院信息软件系统运维保障服务</w:t>
      </w:r>
      <w:r>
        <w:rPr>
          <w:rFonts w:hint="eastAsia" w:ascii="方正小标宋简体" w:hAnsi="方正小标宋简体" w:eastAsia="方正小标宋简体" w:cs="方正小标宋简体"/>
          <w:sz w:val="36"/>
          <w:szCs w:val="36"/>
        </w:rPr>
        <w:t>需求</w:t>
      </w:r>
      <w:r>
        <w:rPr>
          <w:rFonts w:hint="eastAsia" w:ascii="方正小标宋简体" w:hAnsi="方正小标宋简体" w:eastAsia="方正小标宋简体" w:cs="方正小标宋简体"/>
          <w:sz w:val="36"/>
          <w:szCs w:val="36"/>
          <w:lang w:val="en-US" w:eastAsia="zh-CN"/>
        </w:rPr>
        <w:t>说明</w:t>
      </w:r>
    </w:p>
    <w:bookmarkEnd w:id="0"/>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6628"/>
      </w:tblGrid>
      <w:tr w14:paraId="20CC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894" w:type="dxa"/>
          </w:tcPr>
          <w:p w14:paraId="748E42DF">
            <w:pPr>
              <w:pStyle w:val="2"/>
              <w:widowControl/>
              <w:shd w:val="clear" w:color="auto" w:fill="FFFFFF"/>
              <w:spacing w:before="0" w:beforeAutospacing="0" w:after="0" w:afterAutospacing="0" w:line="23" w:lineRule="atLeast"/>
              <w:jc w:val="both"/>
              <w:rPr>
                <w:rFonts w:hint="eastAsia" w:ascii="仿宋" w:hAnsi="仿宋" w:eastAsia="仿宋" w:cs="仿宋"/>
                <w:b/>
                <w:bCs w:val="0"/>
                <w:sz w:val="22"/>
                <w:szCs w:val="22"/>
                <w:highlight w:val="none"/>
                <w:shd w:val="clear" w:color="auto" w:fill="FFFFFF"/>
                <w:lang w:val="en-US" w:eastAsia="zh-CN"/>
              </w:rPr>
            </w:pPr>
          </w:p>
          <w:p w14:paraId="448C4382">
            <w:pPr>
              <w:pStyle w:val="2"/>
              <w:widowControl/>
              <w:shd w:val="clear" w:color="auto" w:fill="FFFFFF"/>
              <w:spacing w:before="0" w:beforeAutospacing="0" w:after="0" w:afterAutospacing="0" w:line="23" w:lineRule="atLeast"/>
              <w:jc w:val="center"/>
              <w:rPr>
                <w:rFonts w:hint="eastAsia" w:ascii="仿宋" w:hAnsi="仿宋" w:eastAsia="仿宋" w:cs="仿宋"/>
                <w:sz w:val="30"/>
                <w:szCs w:val="30"/>
                <w:highlight w:val="none"/>
              </w:rPr>
            </w:pPr>
            <w:r>
              <w:rPr>
                <w:rFonts w:hint="eastAsia" w:ascii="仿宋" w:hAnsi="仿宋" w:eastAsia="仿宋" w:cs="仿宋"/>
                <w:b/>
                <w:bCs w:val="0"/>
                <w:sz w:val="22"/>
                <w:szCs w:val="22"/>
                <w:highlight w:val="none"/>
                <w:shd w:val="clear" w:color="auto" w:fill="FFFFFF"/>
                <w:lang w:val="en-US" w:eastAsia="zh-CN"/>
              </w:rPr>
              <w:t>需求部门</w:t>
            </w:r>
          </w:p>
        </w:tc>
        <w:tc>
          <w:tcPr>
            <w:tcW w:w="6628" w:type="dxa"/>
          </w:tcPr>
          <w:p w14:paraId="5406B7FA">
            <w:pPr>
              <w:jc w:val="center"/>
              <w:rPr>
                <w:rFonts w:hint="eastAsia" w:ascii="仿宋" w:hAnsi="仿宋" w:eastAsia="仿宋" w:cs="仿宋"/>
                <w:sz w:val="30"/>
                <w:szCs w:val="30"/>
                <w:highlight w:val="none"/>
                <w:lang w:val="en-US" w:eastAsia="zh-CN"/>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信息科</w:t>
            </w:r>
          </w:p>
        </w:tc>
      </w:tr>
      <w:tr w14:paraId="2987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vAlign w:val="center"/>
          </w:tcPr>
          <w:p w14:paraId="6F84F7D6">
            <w:pPr>
              <w:pStyle w:val="2"/>
              <w:widowControl/>
              <w:shd w:val="clear" w:color="auto" w:fill="FFFFFF"/>
              <w:spacing w:before="0" w:beforeAutospacing="0" w:after="0" w:afterAutospacing="0" w:line="23" w:lineRule="atLeast"/>
              <w:jc w:val="center"/>
              <w:rPr>
                <w:rFonts w:hint="eastAsia" w:ascii="仿宋" w:hAnsi="仿宋" w:eastAsia="仿宋" w:cs="仿宋"/>
                <w:sz w:val="30"/>
                <w:szCs w:val="30"/>
                <w:highlight w:val="none"/>
              </w:rPr>
            </w:pPr>
            <w:r>
              <w:rPr>
                <w:rFonts w:hint="eastAsia" w:ascii="仿宋" w:hAnsi="仿宋" w:eastAsia="仿宋" w:cs="仿宋"/>
                <w:b/>
                <w:bCs w:val="0"/>
                <w:sz w:val="22"/>
                <w:szCs w:val="22"/>
                <w:highlight w:val="none"/>
                <w:shd w:val="clear" w:color="auto" w:fill="FFFFFF"/>
                <w:lang w:val="en-US" w:eastAsia="zh-CN"/>
              </w:rPr>
              <w:t>项目名称</w:t>
            </w:r>
          </w:p>
        </w:tc>
        <w:tc>
          <w:tcPr>
            <w:tcW w:w="6628" w:type="dxa"/>
          </w:tcPr>
          <w:p w14:paraId="5B24B02C">
            <w:pPr>
              <w:jc w:val="center"/>
              <w:rPr>
                <w:rFonts w:hint="default" w:ascii="仿宋" w:hAnsi="仿宋" w:eastAsia="仿宋" w:cs="仿宋"/>
                <w:sz w:val="30"/>
                <w:szCs w:val="30"/>
                <w:highlight w:val="none"/>
                <w:lang w:val="en-US" w:eastAsia="zh-CN"/>
              </w:rPr>
            </w:pPr>
            <w:r>
              <w:rPr>
                <w:rFonts w:hint="eastAsia" w:ascii="仿宋" w:hAnsi="仿宋" w:eastAsia="仿宋" w:cs="仿宋"/>
                <w:sz w:val="28"/>
                <w:szCs w:val="28"/>
                <w:highlight w:val="none"/>
                <w:lang w:val="en-US" w:eastAsia="zh-CN"/>
              </w:rPr>
              <w:t>医院信息软件系统运维保障服务</w:t>
            </w:r>
          </w:p>
        </w:tc>
      </w:tr>
      <w:tr w14:paraId="19E5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894" w:type="dxa"/>
            <w:vAlign w:val="center"/>
          </w:tcPr>
          <w:p w14:paraId="4DC50917">
            <w:pPr>
              <w:pStyle w:val="2"/>
              <w:widowControl/>
              <w:shd w:val="clear" w:color="auto" w:fill="FFFFFF"/>
              <w:spacing w:before="0" w:beforeAutospacing="0" w:after="0" w:afterAutospacing="0" w:line="23" w:lineRule="atLeast"/>
              <w:jc w:val="center"/>
              <w:rPr>
                <w:rFonts w:hint="default" w:ascii="仿宋" w:hAnsi="仿宋" w:eastAsia="仿宋" w:cs="仿宋"/>
                <w:b w:val="0"/>
                <w:bCs/>
                <w:sz w:val="30"/>
                <w:szCs w:val="30"/>
                <w:highlight w:val="none"/>
                <w:shd w:val="clear" w:color="auto" w:fill="FFFFFF"/>
                <w:lang w:val="en-US" w:eastAsia="zh-CN"/>
              </w:rPr>
            </w:pPr>
            <w:r>
              <w:rPr>
                <w:rFonts w:hint="eastAsia" w:ascii="仿宋" w:hAnsi="仿宋" w:eastAsia="仿宋" w:cs="仿宋"/>
                <w:b/>
                <w:bCs w:val="0"/>
                <w:sz w:val="22"/>
                <w:szCs w:val="22"/>
                <w:highlight w:val="none"/>
                <w:shd w:val="clear" w:color="auto" w:fill="FFFFFF"/>
                <w:lang w:val="en-US" w:eastAsia="zh-CN"/>
              </w:rPr>
              <w:t>项目背景及目标</w:t>
            </w:r>
          </w:p>
        </w:tc>
        <w:tc>
          <w:tcPr>
            <w:tcW w:w="6628" w:type="dxa"/>
            <w:vAlign w:val="top"/>
          </w:tcPr>
          <w:p w14:paraId="13B795BF">
            <w:pPr>
              <w:pStyle w:val="3"/>
              <w:pageBreakBefore w:val="0"/>
              <w:widowControl/>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一、项目背景与需求</w:t>
            </w:r>
          </w:p>
          <w:p w14:paraId="0DB4F1C7">
            <w:pPr>
              <w:pageBreakBefore w:val="0"/>
              <w:widowControl/>
              <w:kinsoku/>
              <w:wordWrap/>
              <w:overflowPunct/>
              <w:topLinePunct w:val="0"/>
              <w:autoSpaceDE/>
              <w:autoSpaceDN/>
              <w:bidi w:val="0"/>
              <w:adjustRightInd w:val="0"/>
              <w:snapToGrid w:val="0"/>
              <w:spacing w:after="0" w:line="240" w:lineRule="auto"/>
              <w:ind w:left="0" w:firstLine="420" w:firstLineChars="200"/>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为提升医院信息化运行维护保障能力、弥补现阶段运维力量不足、保障医院信息系统稳定、安全、可靠运行，医院拟通过政府采购方式购买“驻场运维保障服务”。服务商负责组建驻场服务团队并派驻医院指定地点开展运维保障工作，承担用工主体责任（劳动关系、薪酬社保、人员合规管理等）。驻场人员在服务期内接受医院信息科的现场工作安排、协同调度与考勤管理，按照医院规章制度及流程要求完成事件处置、巡检评估、需求协同、文档交付、网络与信息安全支持等工作，并按约定提交可验收交付物。</w:t>
            </w:r>
          </w:p>
          <w:p w14:paraId="19F5612B">
            <w:pPr>
              <w:pStyle w:val="3"/>
              <w:pageBreakBefore w:val="0"/>
              <w:widowControl/>
              <w:kinsoku/>
              <w:wordWrap/>
              <w:overflowPunct/>
              <w:topLinePunct w:val="0"/>
              <w:autoSpaceDE/>
              <w:autoSpaceDN/>
              <w:bidi w:val="0"/>
              <w:adjustRightInd w:val="0"/>
              <w:snapToGrid w:val="0"/>
              <w:spacing w:before="0" w:after="0" w:line="240" w:lineRule="auto"/>
              <w:textAlignment w:val="auto"/>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kern w:val="2"/>
                <w:sz w:val="21"/>
                <w:szCs w:val="21"/>
                <w:highlight w:val="none"/>
                <w:lang w:val="en-US" w:eastAsia="zh-CN" w:bidi="ar-SA"/>
              </w:rPr>
              <w:t>二、项目目标</w:t>
            </w:r>
          </w:p>
          <w:p w14:paraId="371B494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 w:hAnsi="仿宋" w:eastAsia="仿宋" w:cs="仿宋"/>
                <w:b w:val="0"/>
                <w:bCs w:val="0"/>
                <w:color w:val="auto"/>
                <w:kern w:val="2"/>
                <w:sz w:val="21"/>
                <w:szCs w:val="21"/>
                <w:highlight w:val="none"/>
                <w:lang w:val="en-US" w:eastAsia="en-US" w:bidi="ar-SA"/>
              </w:rPr>
            </w:pPr>
            <w:r>
              <w:rPr>
                <w:rFonts w:hint="eastAsia" w:ascii="仿宋" w:hAnsi="仿宋" w:eastAsia="仿宋" w:cs="仿宋"/>
                <w:b w:val="0"/>
                <w:bCs w:val="0"/>
                <w:color w:val="auto"/>
                <w:kern w:val="2"/>
                <w:sz w:val="21"/>
                <w:szCs w:val="21"/>
                <w:highlight w:val="none"/>
                <w:lang w:val="en-US" w:eastAsia="zh-CN" w:bidi="ar-SA"/>
              </w:rPr>
              <w:t>1.</w:t>
            </w:r>
            <w:r>
              <w:rPr>
                <w:rFonts w:hint="eastAsia" w:ascii="仿宋" w:hAnsi="仿宋" w:eastAsia="仿宋" w:cs="仿宋"/>
                <w:b w:val="0"/>
                <w:bCs w:val="0"/>
                <w:color w:val="auto"/>
                <w:kern w:val="2"/>
                <w:sz w:val="21"/>
                <w:szCs w:val="21"/>
                <w:highlight w:val="none"/>
                <w:lang w:val="en-US" w:eastAsia="en-US" w:bidi="ar-SA"/>
              </w:rPr>
              <w:t>支撑软件开发与应用运维：对医院业务需求进行收集、梳理、评估与优化，形成可执行方案与计划，协同完成设计、开发、联调、测试与上线支持，保障功能按期交付。</w:t>
            </w:r>
          </w:p>
          <w:p w14:paraId="07D2F30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 w:hAnsi="仿宋" w:eastAsia="仿宋" w:cs="仿宋"/>
                <w:b w:val="0"/>
                <w:bCs w:val="0"/>
                <w:color w:val="auto"/>
                <w:kern w:val="2"/>
                <w:sz w:val="21"/>
                <w:szCs w:val="21"/>
                <w:highlight w:val="none"/>
                <w:lang w:val="en-US" w:eastAsia="en-US" w:bidi="ar-SA"/>
              </w:rPr>
            </w:pPr>
            <w:r>
              <w:rPr>
                <w:rFonts w:hint="eastAsia" w:ascii="仿宋" w:hAnsi="仿宋" w:eastAsia="仿宋" w:cs="仿宋"/>
                <w:b w:val="0"/>
                <w:bCs w:val="0"/>
                <w:color w:val="auto"/>
                <w:kern w:val="2"/>
                <w:sz w:val="21"/>
                <w:szCs w:val="21"/>
                <w:highlight w:val="none"/>
                <w:lang w:val="en-US" w:eastAsia="zh-CN" w:bidi="ar-SA"/>
              </w:rPr>
              <w:t>2.</w:t>
            </w:r>
            <w:r>
              <w:rPr>
                <w:rFonts w:hint="eastAsia" w:ascii="仿宋" w:hAnsi="仿宋" w:eastAsia="仿宋" w:cs="仿宋"/>
                <w:b w:val="0"/>
                <w:bCs w:val="0"/>
                <w:color w:val="auto"/>
                <w:kern w:val="2"/>
                <w:sz w:val="21"/>
                <w:szCs w:val="21"/>
                <w:highlight w:val="none"/>
                <w:lang w:val="en-US" w:eastAsia="en-US" w:bidi="ar-SA"/>
              </w:rPr>
              <w:t>保障系统安全合规与稳定运行：落实安全策略、账号权限与审计要求，开展安全监测与整改协同，降低信息安全事件与业务中断风险。</w:t>
            </w:r>
          </w:p>
          <w:p w14:paraId="467AC71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 w:hAnsi="仿宋" w:eastAsia="仿宋" w:cs="仿宋"/>
                <w:b w:val="0"/>
                <w:bCs w:val="0"/>
                <w:color w:val="auto"/>
                <w:kern w:val="2"/>
                <w:sz w:val="21"/>
                <w:szCs w:val="21"/>
                <w:highlight w:val="none"/>
                <w:lang w:val="en-US" w:eastAsia="en-US" w:bidi="ar-SA"/>
              </w:rPr>
            </w:pPr>
            <w:r>
              <w:rPr>
                <w:rFonts w:hint="eastAsia" w:ascii="仿宋" w:hAnsi="仿宋" w:eastAsia="仿宋" w:cs="仿宋"/>
                <w:b w:val="0"/>
                <w:bCs w:val="0"/>
                <w:color w:val="auto"/>
                <w:kern w:val="2"/>
                <w:sz w:val="21"/>
                <w:szCs w:val="21"/>
                <w:highlight w:val="none"/>
                <w:lang w:val="en-US" w:eastAsia="zh-CN" w:bidi="ar-SA"/>
              </w:rPr>
              <w:t>3.</w:t>
            </w:r>
            <w:r>
              <w:rPr>
                <w:rFonts w:hint="eastAsia" w:ascii="仿宋" w:hAnsi="仿宋" w:eastAsia="仿宋" w:cs="仿宋"/>
                <w:b w:val="0"/>
                <w:bCs w:val="0"/>
                <w:color w:val="auto"/>
                <w:kern w:val="2"/>
                <w:sz w:val="21"/>
                <w:szCs w:val="21"/>
                <w:highlight w:val="none"/>
                <w:lang w:val="en-US" w:eastAsia="en-US" w:bidi="ar-SA"/>
              </w:rPr>
              <w:t>确保系统健康可用与风险可控：通过巡检、监测、评估与备份核验等手段识别风险隐患，形成整改清单并跟踪闭环，保障系统持续可用。</w:t>
            </w:r>
          </w:p>
          <w:p w14:paraId="0BB3FD9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 w:hAnsi="仿宋" w:eastAsia="仿宋" w:cs="仿宋"/>
                <w:b w:val="0"/>
                <w:bCs w:val="0"/>
                <w:color w:val="auto"/>
                <w:kern w:val="2"/>
                <w:sz w:val="21"/>
                <w:szCs w:val="21"/>
                <w:highlight w:val="none"/>
                <w:lang w:val="en-US" w:eastAsia="en-US" w:bidi="ar-SA"/>
              </w:rPr>
            </w:pPr>
            <w:r>
              <w:rPr>
                <w:rFonts w:hint="eastAsia" w:ascii="仿宋" w:hAnsi="仿宋" w:eastAsia="仿宋" w:cs="仿宋"/>
                <w:b w:val="0"/>
                <w:bCs w:val="0"/>
                <w:color w:val="auto"/>
                <w:kern w:val="2"/>
                <w:sz w:val="21"/>
                <w:szCs w:val="21"/>
                <w:highlight w:val="none"/>
                <w:lang w:val="en-US" w:eastAsia="zh-CN" w:bidi="ar-SA"/>
              </w:rPr>
              <w:t>4.</w:t>
            </w:r>
            <w:r>
              <w:rPr>
                <w:rFonts w:hint="eastAsia" w:ascii="仿宋" w:hAnsi="仿宋" w:eastAsia="仿宋" w:cs="仿宋"/>
                <w:b w:val="0"/>
                <w:bCs w:val="0"/>
                <w:color w:val="auto"/>
                <w:kern w:val="2"/>
                <w:sz w:val="21"/>
                <w:szCs w:val="21"/>
                <w:highlight w:val="none"/>
                <w:lang w:val="en-US" w:eastAsia="en-US" w:bidi="ar-SA"/>
              </w:rPr>
              <w:t>提升故障响应与恢复效率：建立7×24响应机制，快速定位与处置故障，必要时提供临时绕行/降级方案并持续跟进直至恢复，将业务影响降到最低。</w:t>
            </w:r>
          </w:p>
          <w:p w14:paraId="1291592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 w:hAnsi="仿宋" w:eastAsia="仿宋" w:cs="仿宋"/>
                <w:b w:val="0"/>
                <w:bCs w:val="0"/>
                <w:color w:val="auto"/>
                <w:kern w:val="2"/>
                <w:sz w:val="21"/>
                <w:szCs w:val="21"/>
                <w:highlight w:val="none"/>
                <w:lang w:val="en-US" w:eastAsia="en-US" w:bidi="ar-SA"/>
              </w:rPr>
            </w:pPr>
            <w:r>
              <w:rPr>
                <w:rFonts w:hint="eastAsia" w:ascii="仿宋" w:hAnsi="仿宋" w:eastAsia="仿宋" w:cs="仿宋"/>
                <w:b w:val="0"/>
                <w:bCs w:val="0"/>
                <w:color w:val="auto"/>
                <w:kern w:val="2"/>
                <w:sz w:val="21"/>
                <w:szCs w:val="21"/>
                <w:highlight w:val="none"/>
                <w:lang w:val="en-US" w:eastAsia="zh-CN" w:bidi="ar-SA"/>
              </w:rPr>
              <w:t>5.</w:t>
            </w:r>
            <w:r>
              <w:rPr>
                <w:rFonts w:hint="eastAsia" w:ascii="仿宋" w:hAnsi="仿宋" w:eastAsia="仿宋" w:cs="仿宋"/>
                <w:b w:val="0"/>
                <w:bCs w:val="0"/>
                <w:color w:val="auto"/>
                <w:kern w:val="2"/>
                <w:sz w:val="21"/>
                <w:szCs w:val="21"/>
                <w:highlight w:val="none"/>
                <w:lang w:val="en-US" w:eastAsia="en-US" w:bidi="ar-SA"/>
              </w:rPr>
              <w:t>统一受理与知识沉淀：统一管理电话/微信/工单等渠道，规范受理口径与处理流程，沉淀知识库与标准处置方案，推动问题闭环与持续改进。</w:t>
            </w:r>
          </w:p>
          <w:p w14:paraId="2A5C0DC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仿宋" w:hAnsi="仿宋" w:eastAsia="仿宋" w:cs="仿宋"/>
                <w:b w:val="0"/>
                <w:bCs w:val="0"/>
                <w:color w:val="auto"/>
                <w:kern w:val="2"/>
                <w:sz w:val="21"/>
                <w:szCs w:val="21"/>
                <w:highlight w:val="none"/>
                <w:lang w:val="en-US" w:eastAsia="en-US" w:bidi="ar-SA"/>
              </w:rPr>
            </w:pPr>
            <w:r>
              <w:rPr>
                <w:rFonts w:hint="eastAsia" w:ascii="仿宋" w:hAnsi="仿宋" w:eastAsia="仿宋" w:cs="仿宋"/>
                <w:b w:val="0"/>
                <w:bCs w:val="0"/>
                <w:color w:val="auto"/>
                <w:kern w:val="2"/>
                <w:sz w:val="21"/>
                <w:szCs w:val="21"/>
                <w:highlight w:val="none"/>
                <w:lang w:val="en-US" w:eastAsia="zh-CN" w:bidi="ar-SA"/>
              </w:rPr>
              <w:t>6.</w:t>
            </w:r>
            <w:r>
              <w:rPr>
                <w:rFonts w:hint="eastAsia" w:ascii="仿宋" w:hAnsi="仿宋" w:eastAsia="仿宋" w:cs="仿宋"/>
                <w:b w:val="0"/>
                <w:bCs w:val="0"/>
                <w:color w:val="auto"/>
                <w:kern w:val="2"/>
                <w:sz w:val="21"/>
                <w:szCs w:val="21"/>
                <w:highlight w:val="none"/>
                <w:lang w:val="en-US" w:eastAsia="en-US" w:bidi="ar-SA"/>
              </w:rPr>
              <w:t>引入并落地IT服务管理：在不额外增加医院负担的前提下，协助完善事件、需求、变更、发布、资产、知识等制度与流程，实现可追溯、可统计、可考核的管理闭环。</w:t>
            </w:r>
          </w:p>
          <w:p w14:paraId="64C70C6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default" w:ascii="仿宋" w:hAnsi="仿宋" w:eastAsia="仿宋" w:cs="仿宋"/>
                <w:i w:val="0"/>
                <w:iCs w:val="0"/>
                <w:sz w:val="21"/>
                <w:szCs w:val="21"/>
                <w:highlight w:val="none"/>
                <w:lang w:val="en-US" w:eastAsia="zh-CN"/>
              </w:rPr>
            </w:pPr>
            <w:r>
              <w:rPr>
                <w:rFonts w:hint="eastAsia" w:ascii="仿宋" w:hAnsi="仿宋" w:eastAsia="仿宋" w:cs="仿宋"/>
                <w:b w:val="0"/>
                <w:bCs w:val="0"/>
                <w:color w:val="auto"/>
                <w:kern w:val="2"/>
                <w:sz w:val="21"/>
                <w:szCs w:val="21"/>
                <w:highlight w:val="none"/>
                <w:lang w:val="en-US" w:eastAsia="zh-CN" w:bidi="ar-SA"/>
              </w:rPr>
              <w:t>7.</w:t>
            </w:r>
            <w:r>
              <w:rPr>
                <w:rFonts w:hint="eastAsia" w:ascii="仿宋" w:hAnsi="仿宋" w:eastAsia="仿宋" w:cs="仿宋"/>
                <w:b w:val="0"/>
                <w:bCs w:val="0"/>
                <w:color w:val="auto"/>
                <w:kern w:val="2"/>
                <w:sz w:val="21"/>
                <w:szCs w:val="21"/>
                <w:highlight w:val="none"/>
                <w:lang w:val="en-US" w:eastAsia="en-US" w:bidi="ar-SA"/>
              </w:rPr>
              <w:t>疑难问题咨询与后方支撑：对疑难问题进行分析与方案建议，按升级机制联动服务商后方专家与原厂商协同解决，并形成复盘与预防措施。</w:t>
            </w:r>
          </w:p>
        </w:tc>
      </w:tr>
      <w:tr w14:paraId="05A4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894" w:type="dxa"/>
            <w:vAlign w:val="center"/>
          </w:tcPr>
          <w:p w14:paraId="26AA6482">
            <w:pPr>
              <w:pStyle w:val="2"/>
              <w:widowControl/>
              <w:shd w:val="clear" w:color="auto" w:fill="FFFFFF"/>
              <w:spacing w:before="0" w:beforeAutospacing="0" w:after="0" w:afterAutospacing="0" w:line="23" w:lineRule="atLeast"/>
              <w:jc w:val="center"/>
              <w:rPr>
                <w:rFonts w:hint="eastAsia" w:ascii="仿宋" w:hAnsi="仿宋" w:eastAsia="仿宋" w:cs="仿宋"/>
                <w:b w:val="0"/>
                <w:bCs/>
                <w:sz w:val="30"/>
                <w:szCs w:val="30"/>
                <w:highlight w:val="none"/>
                <w:shd w:val="clear" w:color="auto" w:fill="FFFFFF"/>
                <w:lang w:val="en-US" w:eastAsia="zh-CN"/>
              </w:rPr>
            </w:pPr>
            <w:r>
              <w:rPr>
                <w:rFonts w:hint="eastAsia" w:ascii="仿宋" w:hAnsi="仿宋" w:eastAsia="仿宋" w:cs="仿宋"/>
                <w:b/>
                <w:bCs w:val="0"/>
                <w:color w:val="000000" w:themeColor="text1"/>
                <w:sz w:val="24"/>
                <w:szCs w:val="24"/>
                <w:highlight w:val="none"/>
                <w:shd w:val="clear" w:color="auto" w:fill="FFFFFF"/>
                <w:lang w:val="en-US" w:eastAsia="zh-CN"/>
                <w14:textFill>
                  <w14:solidFill>
                    <w14:schemeClr w14:val="tx1"/>
                  </w14:solidFill>
                </w14:textFill>
              </w:rPr>
              <w:t>现状分析</w:t>
            </w:r>
            <w:r>
              <w:rPr>
                <w:rFonts w:hint="eastAsia" w:ascii="仿宋" w:hAnsi="仿宋" w:eastAsia="仿宋" w:cs="仿宋"/>
                <w:b/>
                <w:bCs w:val="0"/>
                <w:color w:val="000000" w:themeColor="text1"/>
                <w:sz w:val="24"/>
                <w:szCs w:val="24"/>
                <w:highlight w:val="none"/>
                <w:shd w:val="clear" w:color="auto" w:fill="FFFFFF"/>
                <w:lang w:val="en-US" w:eastAsia="zh-CN"/>
                <w14:textFill>
                  <w14:solidFill>
                    <w14:schemeClr w14:val="tx1"/>
                  </w14:solidFill>
                </w14:textFill>
              </w:rPr>
              <w:br w:type="textWrapping"/>
            </w:r>
            <w:r>
              <w:rPr>
                <w:rFonts w:hint="eastAsia" w:ascii="仿宋" w:hAnsi="仿宋" w:eastAsia="仿宋" w:cs="仿宋"/>
                <w:b/>
                <w:bCs w:val="0"/>
                <w:color w:val="000000" w:themeColor="text1"/>
                <w:sz w:val="24"/>
                <w:szCs w:val="24"/>
                <w:highlight w:val="none"/>
                <w:shd w:val="clear" w:color="auto" w:fill="FFFFFF"/>
                <w:lang w:val="en-US" w:eastAsia="zh-CN"/>
                <w14:textFill>
                  <w14:solidFill>
                    <w14:schemeClr w14:val="tx1"/>
                  </w14:solidFill>
                </w14:textFill>
              </w:rPr>
              <w:t>（存在不足）</w:t>
            </w:r>
          </w:p>
        </w:tc>
        <w:tc>
          <w:tcPr>
            <w:tcW w:w="6628" w:type="dxa"/>
          </w:tcPr>
          <w:p w14:paraId="60B2F2C3">
            <w:pPr>
              <w:keepNext w:val="0"/>
              <w:keepLines w:val="0"/>
              <w:pageBreakBefore w:val="0"/>
              <w:widowControl w:val="0"/>
              <w:numPr>
                <w:ilvl w:val="-1"/>
                <w:numId w:val="0"/>
              </w:numPr>
              <w:kinsoku/>
              <w:wordWrap/>
              <w:overflowPunct/>
              <w:topLinePunct w:val="0"/>
              <w:autoSpaceDE/>
              <w:autoSpaceDN/>
              <w:bidi w:val="0"/>
              <w:adjustRightInd/>
              <w:snapToGrid/>
              <w:spacing w:after="0" w:line="240" w:lineRule="auto"/>
              <w:ind w:firstLine="420" w:firstLineChars="200"/>
              <w:jc w:val="left"/>
              <w:textAlignment w:val="auto"/>
              <w:rPr>
                <w:rFonts w:hint="eastAsia" w:ascii="仿宋" w:hAnsi="仿宋" w:eastAsia="仿宋" w:cs="仿宋"/>
                <w:i w:val="0"/>
                <w:iCs w:val="0"/>
                <w:sz w:val="21"/>
                <w:szCs w:val="21"/>
                <w:highlight w:val="none"/>
                <w:lang w:val="en-US" w:eastAsia="zh-CN"/>
              </w:rPr>
            </w:pPr>
            <w:r>
              <w:rPr>
                <w:rFonts w:hint="eastAsia" w:ascii="仿宋" w:hAnsi="仿宋" w:eastAsia="仿宋" w:cs="仿宋"/>
                <w:sz w:val="21"/>
                <w:szCs w:val="21"/>
                <w:highlight w:val="none"/>
                <w:lang w:val="en-US" w:eastAsia="zh-CN"/>
              </w:rPr>
              <w:t>医院信息系统多、业务连续性要求高，需求迭代、故障处置与安全合规工作量持续增加，但信息科现有人力与专业结构难以同时覆盖“软件运维开发、项目管理、网络与安全”三类保障能力，导致响应与闭环效率不足、巡检监测与风险治理不够体系化、资产与文档沉淀不完善；遇到跨系统故障或安全事件时协调成本高、恢复周期长、风险暴露增加，亟需通过购买驻场运维保障服务补齐能力缺口。</w:t>
            </w:r>
          </w:p>
        </w:tc>
      </w:tr>
      <w:tr w14:paraId="760B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894" w:type="dxa"/>
            <w:vAlign w:val="center"/>
          </w:tcPr>
          <w:p w14:paraId="05875E21">
            <w:pPr>
              <w:pStyle w:val="2"/>
              <w:widowControl/>
              <w:shd w:val="clear" w:color="auto" w:fill="FFFFFF"/>
              <w:spacing w:before="0" w:beforeAutospacing="0" w:after="0" w:afterAutospacing="0" w:line="23" w:lineRule="atLeast"/>
              <w:jc w:val="center"/>
              <w:rPr>
                <w:rFonts w:hint="eastAsia" w:ascii="仿宋" w:hAnsi="仿宋" w:eastAsia="仿宋" w:cs="仿宋"/>
                <w:b/>
                <w:bCs w:val="0"/>
                <w:sz w:val="22"/>
                <w:szCs w:val="22"/>
                <w:highlight w:val="none"/>
                <w:shd w:val="clear" w:color="auto" w:fill="FFFFFF"/>
                <w:lang w:val="en-US" w:eastAsia="zh-CN"/>
              </w:rPr>
            </w:pPr>
            <w:r>
              <w:rPr>
                <w:rFonts w:hint="eastAsia" w:ascii="仿宋" w:hAnsi="仿宋" w:eastAsia="仿宋" w:cs="仿宋"/>
                <w:b/>
                <w:bCs w:val="0"/>
                <w:color w:val="000000" w:themeColor="text1"/>
                <w:sz w:val="24"/>
                <w:szCs w:val="24"/>
                <w:highlight w:val="none"/>
                <w:shd w:val="clear" w:color="auto" w:fill="FFFFFF"/>
                <w:lang w:val="en-US" w:eastAsia="zh-CN"/>
                <w14:textFill>
                  <w14:solidFill>
                    <w14:schemeClr w14:val="tx1"/>
                  </w14:solidFill>
                </w14:textFill>
              </w:rPr>
              <w:t>预期效果</w:t>
            </w:r>
          </w:p>
        </w:tc>
        <w:tc>
          <w:tcPr>
            <w:tcW w:w="6628" w:type="dxa"/>
            <w:vAlign w:val="top"/>
          </w:tcPr>
          <w:p w14:paraId="3B7BF2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firstLine="420" w:firstLineChars="200"/>
              <w:jc w:val="left"/>
              <w:textAlignment w:val="auto"/>
              <w:rPr>
                <w:rFonts w:hint="eastAsia" w:ascii="仿宋" w:hAnsi="仿宋" w:eastAsia="仿宋" w:cs="仿宋"/>
                <w:i w:val="0"/>
                <w:iCs w:val="0"/>
                <w:sz w:val="21"/>
                <w:szCs w:val="21"/>
                <w:highlight w:val="none"/>
                <w:lang w:val="en-US" w:eastAsia="zh-CN"/>
              </w:rPr>
            </w:pPr>
            <w:r>
              <w:rPr>
                <w:rFonts w:hint="eastAsia" w:ascii="仿宋" w:hAnsi="仿宋" w:eastAsia="仿宋" w:cs="仿宋"/>
                <w:sz w:val="21"/>
                <w:szCs w:val="21"/>
                <w:highlight w:val="none"/>
                <w:lang w:val="en-US" w:eastAsia="zh-CN"/>
              </w:rPr>
              <w:t>通过引入驻场运维保障服务，预计可形成“软件运维开发+项目管理+网络与安全”一体化支撑：需求与交付有台账、有计划、可验收，常见问题工单化闭环并沉淀知识库；系统巡检监测常态化、风险隐患可识别可整改，重大故障与安全事件响应更快、恢复更稳；同时推动ITSM流程与文档资产规范落地，显著提升信息系统稳定性、安全合规水平与服务满意度。</w:t>
            </w:r>
          </w:p>
        </w:tc>
      </w:tr>
      <w:tr w14:paraId="2E21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894" w:type="dxa"/>
            <w:vAlign w:val="center"/>
          </w:tcPr>
          <w:p w14:paraId="24862039">
            <w:pPr>
              <w:pStyle w:val="2"/>
              <w:widowControl/>
              <w:shd w:val="clear" w:color="auto" w:fill="FFFFFF"/>
              <w:spacing w:before="0" w:beforeAutospacing="0" w:after="0" w:afterAutospacing="0" w:line="23" w:lineRule="atLeast"/>
              <w:jc w:val="center"/>
              <w:rPr>
                <w:rFonts w:hint="eastAsia" w:ascii="仿宋" w:hAnsi="仿宋" w:eastAsia="仿宋" w:cs="仿宋"/>
                <w:b w:val="0"/>
                <w:bCs/>
                <w:sz w:val="30"/>
                <w:szCs w:val="30"/>
                <w:highlight w:val="none"/>
                <w:shd w:val="clear" w:color="auto" w:fill="FFFFFF"/>
                <w:lang w:val="en-US" w:eastAsia="zh-CN"/>
              </w:rPr>
            </w:pPr>
            <w:r>
              <w:rPr>
                <w:rFonts w:hint="eastAsia" w:ascii="仿宋" w:hAnsi="仿宋" w:eastAsia="仿宋" w:cs="仿宋"/>
                <w:b/>
                <w:bCs w:val="0"/>
                <w:color w:val="000000" w:themeColor="text1"/>
                <w:sz w:val="24"/>
                <w:szCs w:val="24"/>
                <w:highlight w:val="none"/>
                <w:shd w:val="clear" w:color="auto" w:fill="FFFFFF"/>
                <w:lang w:val="en-US" w:eastAsia="zh-CN"/>
                <w14:textFill>
                  <w14:solidFill>
                    <w14:schemeClr w14:val="tx1"/>
                  </w14:solidFill>
                </w14:textFill>
              </w:rPr>
              <w:t>软件系统</w:t>
            </w:r>
            <w:r>
              <w:rPr>
                <w:rFonts w:hint="eastAsia" w:ascii="仿宋" w:hAnsi="仿宋" w:eastAsia="仿宋" w:cs="仿宋"/>
                <w:b/>
                <w:bCs w:val="0"/>
                <w:color w:val="000000" w:themeColor="text1"/>
                <w:sz w:val="24"/>
                <w:szCs w:val="24"/>
                <w:highlight w:val="none"/>
                <w:shd w:val="clear" w:color="auto" w:fill="FFFFFF"/>
                <w14:textFill>
                  <w14:solidFill>
                    <w14:schemeClr w14:val="tx1"/>
                  </w14:solidFill>
                </w14:textFill>
              </w:rPr>
              <w:t>技术</w:t>
            </w:r>
            <w:r>
              <w:rPr>
                <w:rFonts w:hint="eastAsia" w:ascii="仿宋" w:hAnsi="仿宋" w:eastAsia="仿宋" w:cs="仿宋"/>
                <w:b/>
                <w:bCs w:val="0"/>
                <w:color w:val="000000" w:themeColor="text1"/>
                <w:sz w:val="24"/>
                <w:szCs w:val="24"/>
                <w:highlight w:val="none"/>
                <w:shd w:val="clear" w:color="auto" w:fill="FFFFFF"/>
                <w:lang w:val="en-US" w:eastAsia="zh-CN"/>
                <w14:textFill>
                  <w14:solidFill>
                    <w14:schemeClr w14:val="tx1"/>
                  </w14:solidFill>
                </w14:textFill>
              </w:rPr>
              <w:t>参数要求</w:t>
            </w:r>
          </w:p>
        </w:tc>
        <w:tc>
          <w:tcPr>
            <w:tcW w:w="6628" w:type="dxa"/>
          </w:tcPr>
          <w:p w14:paraId="4C4D02A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b/>
                <w:bCs/>
                <w:sz w:val="21"/>
                <w:szCs w:val="21"/>
                <w:highlight w:val="none"/>
                <w:lang w:val="en-US" w:eastAsia="zh-CN"/>
              </w:rPr>
            </w:pPr>
            <w:r>
              <w:rPr>
                <w:rFonts w:hint="default" w:ascii="仿宋" w:hAnsi="仿宋" w:eastAsia="仿宋" w:cs="仿宋"/>
                <w:b/>
                <w:bCs/>
                <w:sz w:val="21"/>
                <w:szCs w:val="21"/>
                <w:highlight w:val="none"/>
                <w:lang w:val="en-US" w:eastAsia="zh-CN"/>
              </w:rPr>
              <w:t>二、服务内容与范围</w:t>
            </w:r>
          </w:p>
          <w:p w14:paraId="2AC6D3E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b w:val="0"/>
                <w:bCs w:val="0"/>
                <w:sz w:val="21"/>
                <w:szCs w:val="21"/>
                <w:highlight w:val="none"/>
                <w:lang w:val="en-US" w:eastAsia="zh-CN"/>
              </w:rPr>
            </w:pPr>
            <w:r>
              <w:rPr>
                <w:rFonts w:hint="default" w:ascii="仿宋" w:hAnsi="仿宋" w:eastAsia="仿宋" w:cs="仿宋"/>
                <w:b w:val="0"/>
                <w:bCs w:val="0"/>
                <w:sz w:val="21"/>
                <w:szCs w:val="21"/>
                <w:highlight w:val="none"/>
                <w:lang w:val="en-US" w:eastAsia="zh-CN"/>
              </w:rPr>
              <w:t>2.1服务基本信息</w:t>
            </w:r>
          </w:p>
          <w:p w14:paraId="15A6B66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服务地点：医院指定办公地点（含医院院区范围内的相关机房/科室）</w:t>
            </w:r>
          </w:p>
          <w:p w14:paraId="553D66B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服务期限：自驻场人员到岗并经医院上岗考核合格之日起 1 年</w:t>
            </w:r>
          </w:p>
          <w:p w14:paraId="46216E4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服务方式：服务商承担用工主体责任（劳动关系、薪酬社保发放与缴纳等）；驻场人员接受医院信息科现场工作安排、协同调度与考勤管理</w:t>
            </w:r>
          </w:p>
          <w:p w14:paraId="75AA02B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驻场人数与岗位：不少于 3 名全职驻场人员（至少包含：软件开发工程师 1 名、项目管理工程师 1 名、网络及信息安全工程师 1 名）</w:t>
            </w:r>
          </w:p>
          <w:p w14:paraId="0398317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项目预算：人民币 38 万元（含税，1 年）</w:t>
            </w:r>
          </w:p>
          <w:p w14:paraId="4A1A809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差旅费用：如医院批准需外出出差，差旅费计入合同金额且累计不超过合同金额的 1.2%</w:t>
            </w:r>
          </w:p>
          <w:p w14:paraId="4D125EE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办公条件：医院提供驻场人员必要办公场所、网络环境及基础办公设备支持</w:t>
            </w:r>
          </w:p>
          <w:p w14:paraId="0666C5B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2.2 服务对象（以附件1《服务对象清单》为准）</w:t>
            </w:r>
          </w:p>
          <w:p w14:paraId="0753252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服务对象为医院已上线或在运行业务系统及其支撑环境（应用/中间件/数据库/日志与监控等）。医院在项目启动阶段提供初始清单，双方在启动后10个工作日内共同核对确认并形成《服务对象清单》，后续按变更流程更新。</w:t>
            </w:r>
          </w:p>
          <w:p w14:paraId="5421A29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2.3 服务内容（覆盖但不限于）</w:t>
            </w:r>
          </w:p>
          <w:p w14:paraId="5DA1A01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A. 软件开发与应用运维支持（对应目标1；软件开发工程师为主，PM协同）</w:t>
            </w:r>
          </w:p>
          <w:p w14:paraId="46B9C45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1）需求受理与台账管理：建立软件需求台账（分类、澄清、优先级、责任人、计划与里程碑），定期汇报推进状态与资源建议。</w:t>
            </w:r>
          </w:p>
          <w:p w14:paraId="7C51AEF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2）开发/二开与交付协同：对新增/二次开发需求评估工作量与风险，形成方案与计划；按医院确认范围开展设计、开发、测试协同、联调与上线支持。</w:t>
            </w:r>
          </w:p>
          <w:p w14:paraId="082D09A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3）应用故障处理与性能优化：对应用层故障进行定位、修复与回归验证；结合监控/日志提出软件层性能优化建议（不承担硬件扩容责任）。</w:t>
            </w:r>
          </w:p>
          <w:p w14:paraId="549E7E3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4）文档与培训支持：持续迭代操作手册/FAQ，围绕已上线系统与已交付功能提供培训与使用支持。</w:t>
            </w:r>
          </w:p>
          <w:p w14:paraId="6677633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5）备份有效性配合：配合开展数据备份与恢复有效性验证（软件层面校验），不承担备份设备硬件运维责任。</w:t>
            </w:r>
          </w:p>
          <w:p w14:paraId="7D3E99B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B. 项目管理、统一受理与ITSM落地（对应目标5、6；项目管理工程师为主）</w:t>
            </w:r>
          </w:p>
          <w:p w14:paraId="10ACA0F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1）统一受理与工单闭环：统一管理电话/微信/工单系统等渠道，建立受理、分级、派单、处理、回访、关闭的闭环机制，形成可追溯记录与统计。</w:t>
            </w:r>
          </w:p>
          <w:p w14:paraId="249303E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2）会议协同与督办：组织院内科室、厂商与驻场团队沟通会议，形成纪要、行动项与责任清单，督办闭环；重大事项及时升级上报信息科负责人。</w:t>
            </w:r>
          </w:p>
          <w:p w14:paraId="7C9EEFD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3）过程资料与验收交付：协助完成评审、试运行、上线切换、阶段验收与交接资料归档，确保资料完整、口径统一、可审计。</w:t>
            </w:r>
          </w:p>
          <w:p w14:paraId="445C8BC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4）ITSM流程优化：结合日常运维沉淀并优化事件、问题、需求、变更、发布、资产、知识等流程，形成优化建议并协助制度化落地（不默认建设全院ITSM平台，如需另行约定）。</w:t>
            </w:r>
          </w:p>
          <w:p w14:paraId="09124E9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5）知识库建设牵引：推动将典型故障、处理步骤、配置要点、复盘结论等沉淀为知识库条目，支持可导出归档与复用。</w:t>
            </w:r>
          </w:p>
          <w:p w14:paraId="2A50623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C. 网络与信息安全运维、巡检监测与风险治理（对应目标2、3；网络及信息安全工程师为主，软件工程师配合）</w:t>
            </w:r>
          </w:p>
          <w:p w14:paraId="736BC12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1）网络运行监控与故障排查：开展网络设备与链路监控、故障定位与配置维护，必要时联动厂商/运营商协同排障。</w:t>
            </w:r>
          </w:p>
          <w:p w14:paraId="0E85A14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2）安全策略与合规支持：对防火墙/入侵检测等安全设备与基础策略进行维护，落实权限、审计与安全制度要求，配合安全监测与审计工作。</w:t>
            </w:r>
          </w:p>
          <w:p w14:paraId="53B5233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3）漏洞扫描与安全评估协助：使用合法合规工具开展漏洞扫描/评估协助，输出风险清单与整改建议；深度渗透/专项攻防不纳入常规范围。</w:t>
            </w:r>
          </w:p>
          <w:p w14:paraId="64A0186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4）日志分析与异常预警：开展设备/安全日志基础分析，识别明显异常访问、告警趋势并及时反馈，必要时联合医院或厂商处置。</w:t>
            </w:r>
          </w:p>
          <w:p w14:paraId="3BE721E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5）巡检、监测与评估报告：按日/周/月执行巡检与告警确认，重点覆盖备份、同步、关键资源使用、链路与安全策略健康度；输出巡检评估报告（风险隐患清单、整改建议、容量/性能趋势、关键事件统计）。</w:t>
            </w:r>
          </w:p>
          <w:p w14:paraId="712BB36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6）资产梳理与拓扑文档：协助形成信息资产清单并定期复核更新；形成网络拓扑、SAN/存储拓扑（如适用）、关键系统架构图及配置/手册等归档资料。</w:t>
            </w:r>
          </w:p>
          <w:p w14:paraId="27313FC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7）应急演练与外设接入审核辅助：配合开展信息安全与业务连续性演练；按医院制度对外接设备接入提供合规性检查建议。</w:t>
            </w:r>
          </w:p>
          <w:p w14:paraId="727AABA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D. 7×24事件响应与疑难升级（对应目标4、7；全员联动，PM统筹）</w:t>
            </w:r>
          </w:p>
          <w:p w14:paraId="0AD2823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1）7×24响应与分级处置：建立7×24响应机制，按事件等级分工处理；确保沟通同步、处置可追溯、闭环可验收。</w:t>
            </w:r>
          </w:p>
          <w:p w14:paraId="28AEE2F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2）重大事件复盘与改进：对P1/P2重大事件组织复盘，输出原因分析、影响评估、整改措施与预防计划，并纳入知识库与风险台账。</w:t>
            </w:r>
          </w:p>
          <w:p w14:paraId="55189F9F">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3）疑难问题升级与后方支撑：超出驻场能力或授权范围的事项，按升级机制联动服务商后方专家与原厂商协同解决，形成最终处置结论与可复用方案。</w:t>
            </w:r>
          </w:p>
          <w:p w14:paraId="1D972E8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b/>
                <w:bCs/>
                <w:sz w:val="21"/>
                <w:szCs w:val="21"/>
                <w:highlight w:val="none"/>
                <w:lang w:val="en-US" w:eastAsia="zh-CN"/>
              </w:rPr>
            </w:pPr>
            <w:r>
              <w:rPr>
                <w:rFonts w:hint="default" w:ascii="仿宋" w:hAnsi="仿宋" w:eastAsia="仿宋" w:cs="仿宋"/>
                <w:b/>
                <w:bCs/>
                <w:sz w:val="21"/>
                <w:szCs w:val="21"/>
                <w:highlight w:val="none"/>
                <w:lang w:val="en-US" w:eastAsia="zh-CN"/>
              </w:rPr>
              <w:t>三、服务团队与驻场要求</w:t>
            </w:r>
          </w:p>
          <w:p w14:paraId="1264CE7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3.1 驻场人员配置（不少于3名全职）</w:t>
            </w:r>
          </w:p>
          <w:p w14:paraId="1433D86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至少包含以下岗位各1名：软件开发工程师、项目管理工程师、网络及信息安全工程师。驻场人员服务期内须在医院指定办公地点驻点服务，保证人员相对固定。</w:t>
            </w:r>
          </w:p>
          <w:p w14:paraId="62CA4D6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3.2 上岗与人员要求</w:t>
            </w:r>
          </w:p>
          <w:p w14:paraId="532486E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驻场前须通过医院组织的上岗考核（业务制度、保密、安全、基本技能），合格后方可上岗。</w:t>
            </w:r>
          </w:p>
          <w:p w14:paraId="393A95B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人员须遵纪守法、品行端正，无违法违规不良记录，并通过医院保密审查与培训。</w:t>
            </w:r>
          </w:p>
          <w:p w14:paraId="0C8737F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驻场服务人员人均综合年薪（含五险一金）不低于人民币 9.6 万元；服务商承担用工主体责任。</w:t>
            </w:r>
          </w:p>
          <w:p w14:paraId="4648546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服务商应提供后方支持机制（远程专家、培训通道、原厂协同），保障疑难问题支撑能力。</w:t>
            </w:r>
          </w:p>
          <w:p w14:paraId="2AD355E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3.3 岗位职责（最低要求）</w:t>
            </w:r>
          </w:p>
          <w:p w14:paraId="242D6E6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（1）软件开发工程师（1名）</w:t>
            </w:r>
          </w:p>
          <w:p w14:paraId="0149054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负责医院现有业务系统应用层维护与故障修复，保障稳定运行。</w:t>
            </w:r>
          </w:p>
          <w:p w14:paraId="46EA0DE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按业务需求开展功能新增/二次开发与优化，提升易用性与体验。</w:t>
            </w:r>
          </w:p>
          <w:p w14:paraId="128551AA">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提供日常应用技术支持，处理科室使用问题并编制/更新技术文档。</w:t>
            </w:r>
          </w:p>
          <w:p w14:paraId="73B313DD">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配合开展软件性能监测与优化建议，配合备份有效性验证。</w:t>
            </w:r>
          </w:p>
          <w:p w14:paraId="127204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持续迭代操作手册/FAQ并配合上线系统用户培训支持。</w:t>
            </w:r>
          </w:p>
          <w:p w14:paraId="3F47222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（2）项目管理工程师（1名）</w:t>
            </w:r>
          </w:p>
          <w:p w14:paraId="1A8FD37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在信息科负责人统一安排下，作为项目管理工程师/PMO支持角色参与信息科指定项目与日常事务，不担任医院信息化项目最终负责人或决策人。</w:t>
            </w:r>
          </w:p>
          <w:p w14:paraId="2B739E4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建立并维护项目计划（里程碑/WBS）、进度跟踪、问题清单、风险清单、需求与变更记录，输出周/月报与关键事项提醒。</w:t>
            </w:r>
          </w:p>
          <w:p w14:paraId="421A7B8C">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组织院内科室、供应商与驻场团队沟通会议，形成纪要、决议与行动项并督办闭环；重大风险及时升级上报信息科负责人。</w:t>
            </w:r>
          </w:p>
          <w:p w14:paraId="77AA6E6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协助完成阶段评审、试运行、上线切换、验收与交接资料整理归档，确保资料完整可追溯。</w:t>
            </w:r>
          </w:p>
          <w:p w14:paraId="6147633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承担信息科日常事项登记、分派、督办提醒、结果回收、材料整理与档案管理，推动知识沉淀入库。</w:t>
            </w:r>
          </w:p>
          <w:p w14:paraId="21D1A4E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负责厂商服务协同跟踪（报修、升级、到场协调、反馈闭环、验收跟踪），不替代医院决策与审批。</w:t>
            </w:r>
          </w:p>
          <w:p w14:paraId="129543D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（3）网络及信息安全工程师（1名）</w:t>
            </w:r>
          </w:p>
          <w:p w14:paraId="4275C499">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负责网络与基础设施日常运维与监控，快速定位并处理网络故障，保障可用性与稳定性。</w:t>
            </w:r>
          </w:p>
          <w:p w14:paraId="154DFF4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负责安全设备与策略的配置维护、巡检与漏洞修补，降低安全风险。</w:t>
            </w:r>
          </w:p>
          <w:p w14:paraId="3A44705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落实信息安全制度，配合安全监测与审计，发现隐患及时处置与整改。</w:t>
            </w:r>
          </w:p>
          <w:p w14:paraId="2A7B7D9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为机房/数据中心相关设备提供技术支持（安装调试、网络架构调整等）。</w:t>
            </w:r>
          </w:p>
          <w:p w14:paraId="06AC09F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开展日志基础分析与异常预警，配合信息安全应急演练技术支持。</w:t>
            </w:r>
          </w:p>
          <w:p w14:paraId="577742C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b/>
                <w:bCs/>
                <w:sz w:val="21"/>
                <w:szCs w:val="21"/>
                <w:highlight w:val="none"/>
                <w:lang w:val="en-US" w:eastAsia="zh-CN"/>
              </w:rPr>
            </w:pPr>
            <w:r>
              <w:rPr>
                <w:rFonts w:hint="default" w:ascii="仿宋" w:hAnsi="仿宋" w:eastAsia="仿宋" w:cs="仿宋"/>
                <w:b/>
                <w:bCs/>
                <w:sz w:val="21"/>
                <w:szCs w:val="21"/>
                <w:highlight w:val="none"/>
                <w:lang w:val="en-US" w:eastAsia="zh-CN"/>
              </w:rPr>
              <w:t>四、工作时间、响应机制与服务质量控制</w:t>
            </w:r>
          </w:p>
          <w:p w14:paraId="7959554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4.1 工作时间与值班/加班</w:t>
            </w:r>
          </w:p>
          <w:p w14:paraId="5066CD7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驻场人员工作时间与医院信息科一致。根据医院工作安排承担值班或加班（含周末、夜间的应急保障）。服务商须明确值班表与应急联络方式。</w:t>
            </w:r>
          </w:p>
          <w:p w14:paraId="3E9C257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4.2 受理渠道与工单管理</w:t>
            </w:r>
          </w:p>
          <w:p w14:paraId="0A1315C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建立统一受理入口（电话/微信/工单系统）。所有事件、问题、需求、变更应形成可追溯记录，并按月统计分析。</w:t>
            </w:r>
          </w:p>
          <w:p w14:paraId="26721D36">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4.3 事件分级与时限（SLA）</w:t>
            </w:r>
          </w:p>
          <w:tbl>
            <w:tblPr>
              <w:tblStyle w:val="11"/>
              <w:tblW w:w="4997" w:type="pct"/>
              <w:jc w:val="center"/>
              <w:tblLayout w:type="autofit"/>
              <w:tblCellMar>
                <w:top w:w="0" w:type="dxa"/>
                <w:left w:w="108" w:type="dxa"/>
                <w:bottom w:w="0" w:type="dxa"/>
                <w:right w:w="108" w:type="dxa"/>
              </w:tblCellMar>
            </w:tblPr>
            <w:tblGrid>
              <w:gridCol w:w="960"/>
              <w:gridCol w:w="1456"/>
              <w:gridCol w:w="1214"/>
              <w:gridCol w:w="1329"/>
              <w:gridCol w:w="1449"/>
            </w:tblGrid>
            <w:tr w14:paraId="37BA6838">
              <w:tblPrEx>
                <w:tblCellMar>
                  <w:top w:w="0" w:type="dxa"/>
                  <w:left w:w="108" w:type="dxa"/>
                  <w:bottom w:w="0" w:type="dxa"/>
                  <w:right w:w="108" w:type="dxa"/>
                </w:tblCellMar>
              </w:tblPrEx>
              <w:trPr>
                <w:jc w:val="center"/>
              </w:trPr>
              <w:tc>
                <w:tcPr>
                  <w:tcW w:w="749" w:type="pct"/>
                </w:tcPr>
                <w:p w14:paraId="4524C346">
                  <w:pPr>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0"/>
                      <w:szCs w:val="20"/>
                    </w:rPr>
                  </w:pPr>
                  <w:r>
                    <w:rPr>
                      <w:rFonts w:hint="eastAsia" w:ascii="仿宋" w:hAnsi="仿宋" w:eastAsia="仿宋" w:cs="仿宋"/>
                      <w:b/>
                      <w:bCs/>
                      <w:color w:val="auto"/>
                      <w:sz w:val="20"/>
                      <w:szCs w:val="20"/>
                    </w:rPr>
                    <w:t>等级</w:t>
                  </w:r>
                </w:p>
              </w:tc>
              <w:tc>
                <w:tcPr>
                  <w:tcW w:w="1135" w:type="pct"/>
                </w:tcPr>
                <w:p w14:paraId="718178CA">
                  <w:pPr>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0"/>
                      <w:szCs w:val="20"/>
                    </w:rPr>
                  </w:pPr>
                  <w:r>
                    <w:rPr>
                      <w:rFonts w:hint="eastAsia" w:ascii="仿宋" w:hAnsi="仿宋" w:eastAsia="仿宋" w:cs="仿宋"/>
                      <w:b/>
                      <w:bCs/>
                      <w:color w:val="auto"/>
                      <w:sz w:val="20"/>
                      <w:szCs w:val="20"/>
                    </w:rPr>
                    <w:t>定义（示例）</w:t>
                  </w:r>
                </w:p>
              </w:tc>
              <w:tc>
                <w:tcPr>
                  <w:tcW w:w="947" w:type="pct"/>
                </w:tcPr>
                <w:p w14:paraId="70D0080B">
                  <w:pPr>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0"/>
                      <w:szCs w:val="20"/>
                    </w:rPr>
                  </w:pPr>
                  <w:r>
                    <w:rPr>
                      <w:rFonts w:hint="eastAsia" w:ascii="仿宋" w:hAnsi="仿宋" w:eastAsia="仿宋" w:cs="仿宋"/>
                      <w:b/>
                      <w:bCs/>
                      <w:color w:val="auto"/>
                      <w:sz w:val="20"/>
                      <w:szCs w:val="20"/>
                    </w:rPr>
                    <w:t>响应时限</w:t>
                  </w:r>
                </w:p>
              </w:tc>
              <w:tc>
                <w:tcPr>
                  <w:tcW w:w="1036" w:type="pct"/>
                </w:tcPr>
                <w:p w14:paraId="65B8D533">
                  <w:pPr>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0"/>
                      <w:szCs w:val="20"/>
                    </w:rPr>
                  </w:pPr>
                  <w:r>
                    <w:rPr>
                      <w:rFonts w:hint="eastAsia" w:ascii="仿宋" w:hAnsi="仿宋" w:eastAsia="仿宋" w:cs="仿宋"/>
                      <w:b/>
                      <w:bCs/>
                      <w:color w:val="auto"/>
                      <w:sz w:val="20"/>
                      <w:szCs w:val="20"/>
                    </w:rPr>
                    <w:t>处置启动/到场</w:t>
                  </w:r>
                </w:p>
              </w:tc>
              <w:tc>
                <w:tcPr>
                  <w:tcW w:w="1130" w:type="pct"/>
                </w:tcPr>
                <w:p w14:paraId="1795DC03">
                  <w:pPr>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bCs/>
                      <w:color w:val="auto"/>
                      <w:sz w:val="20"/>
                      <w:szCs w:val="20"/>
                    </w:rPr>
                  </w:pPr>
                  <w:r>
                    <w:rPr>
                      <w:rFonts w:hint="eastAsia" w:ascii="仿宋" w:hAnsi="仿宋" w:eastAsia="仿宋" w:cs="仿宋"/>
                      <w:b/>
                      <w:bCs/>
                      <w:color w:val="auto"/>
                      <w:sz w:val="20"/>
                      <w:szCs w:val="20"/>
                    </w:rPr>
                    <w:t>恢复目标</w:t>
                  </w:r>
                </w:p>
              </w:tc>
            </w:tr>
            <w:tr w14:paraId="4B525AD1">
              <w:tblPrEx>
                <w:tblCellMar>
                  <w:top w:w="0" w:type="dxa"/>
                  <w:left w:w="108" w:type="dxa"/>
                  <w:bottom w:w="0" w:type="dxa"/>
                  <w:right w:w="108" w:type="dxa"/>
                </w:tblCellMar>
              </w:tblPrEx>
              <w:trPr>
                <w:jc w:val="center"/>
              </w:trPr>
              <w:tc>
                <w:tcPr>
                  <w:tcW w:w="749" w:type="pct"/>
                </w:tcPr>
                <w:p w14:paraId="66A29E0B">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P1 重大</w:t>
                  </w:r>
                </w:p>
              </w:tc>
              <w:tc>
                <w:tcPr>
                  <w:tcW w:w="1135" w:type="pct"/>
                </w:tcPr>
                <w:p w14:paraId="3A88255B">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核心业务中断；重大安全事件；多科室无法开展业务</w:t>
                  </w:r>
                </w:p>
              </w:tc>
              <w:tc>
                <w:tcPr>
                  <w:tcW w:w="947" w:type="pct"/>
                </w:tcPr>
                <w:p w14:paraId="0C9FAE8A">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≤10分钟</w:t>
                  </w:r>
                </w:p>
              </w:tc>
              <w:tc>
                <w:tcPr>
                  <w:tcW w:w="1036" w:type="pct"/>
                </w:tcPr>
                <w:p w14:paraId="2CF5BB65">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≤30分钟启动处置（远程/到场）</w:t>
                  </w:r>
                </w:p>
              </w:tc>
              <w:tc>
                <w:tcPr>
                  <w:tcW w:w="1130" w:type="pct"/>
                </w:tcPr>
                <w:p w14:paraId="7716CE67">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≤4小时恢复核心业务可用或提供有效绕行/降级方案；24小时内提交初步复盘</w:t>
                  </w:r>
                </w:p>
              </w:tc>
            </w:tr>
            <w:tr w14:paraId="29EF583B">
              <w:tblPrEx>
                <w:tblCellMar>
                  <w:top w:w="0" w:type="dxa"/>
                  <w:left w:w="108" w:type="dxa"/>
                  <w:bottom w:w="0" w:type="dxa"/>
                  <w:right w:w="108" w:type="dxa"/>
                </w:tblCellMar>
              </w:tblPrEx>
              <w:trPr>
                <w:jc w:val="center"/>
              </w:trPr>
              <w:tc>
                <w:tcPr>
                  <w:tcW w:w="749" w:type="pct"/>
                </w:tcPr>
                <w:p w14:paraId="59889402">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P2 重要</w:t>
                  </w:r>
                </w:p>
              </w:tc>
              <w:tc>
                <w:tcPr>
                  <w:tcW w:w="1135" w:type="pct"/>
                </w:tcPr>
                <w:p w14:paraId="5E5FE92D">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关键功能受限；影响多个科室或关键时段业务</w:t>
                  </w:r>
                </w:p>
              </w:tc>
              <w:tc>
                <w:tcPr>
                  <w:tcW w:w="947" w:type="pct"/>
                </w:tcPr>
                <w:p w14:paraId="155E1E23">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≤30分钟</w:t>
                  </w:r>
                </w:p>
              </w:tc>
              <w:tc>
                <w:tcPr>
                  <w:tcW w:w="1036" w:type="pct"/>
                </w:tcPr>
                <w:p w14:paraId="69E422E7">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≤2小时给出处置方案</w:t>
                  </w:r>
                </w:p>
              </w:tc>
              <w:tc>
                <w:tcPr>
                  <w:tcW w:w="1130" w:type="pct"/>
                </w:tcPr>
                <w:p w14:paraId="26438CDA">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≤8小时恢复或提供替代方案</w:t>
                  </w:r>
                </w:p>
              </w:tc>
            </w:tr>
            <w:tr w14:paraId="700F42B7">
              <w:tblPrEx>
                <w:tblCellMar>
                  <w:top w:w="0" w:type="dxa"/>
                  <w:left w:w="108" w:type="dxa"/>
                  <w:bottom w:w="0" w:type="dxa"/>
                  <w:right w:w="108" w:type="dxa"/>
                </w:tblCellMar>
              </w:tblPrEx>
              <w:trPr>
                <w:jc w:val="center"/>
              </w:trPr>
              <w:tc>
                <w:tcPr>
                  <w:tcW w:w="749" w:type="pct"/>
                </w:tcPr>
                <w:p w14:paraId="356C2F6F">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P3 一般</w:t>
                  </w:r>
                </w:p>
              </w:tc>
              <w:tc>
                <w:tcPr>
                  <w:tcW w:w="1135" w:type="pct"/>
                </w:tcPr>
                <w:p w14:paraId="36E4D9C6">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单科室/单用户影响；咨询与一般缺陷</w:t>
                  </w:r>
                </w:p>
              </w:tc>
              <w:tc>
                <w:tcPr>
                  <w:tcW w:w="947" w:type="pct"/>
                </w:tcPr>
                <w:p w14:paraId="09CBBAAD">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≤2小时（工作时段）/ ≤30分钟（非工作时段仅确认受理）</w:t>
                  </w:r>
                </w:p>
              </w:tc>
              <w:tc>
                <w:tcPr>
                  <w:tcW w:w="1036" w:type="pct"/>
                </w:tcPr>
                <w:p w14:paraId="7EF8BAD7">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约定时间推进</w:t>
                  </w:r>
                </w:p>
              </w:tc>
              <w:tc>
                <w:tcPr>
                  <w:tcW w:w="1130" w:type="pct"/>
                </w:tcPr>
                <w:p w14:paraId="758542C8">
                  <w:pPr>
                    <w:pageBreakBefore w:val="0"/>
                    <w:widowControl/>
                    <w:kinsoku/>
                    <w:wordWrap/>
                    <w:overflowPunct/>
                    <w:topLinePunct w:val="0"/>
                    <w:autoSpaceDE/>
                    <w:autoSpaceDN/>
                    <w:bidi w:val="0"/>
                    <w:adjustRightInd w:val="0"/>
                    <w:snapToGrid w:val="0"/>
                    <w:spacing w:after="0" w:line="240" w:lineRule="auto"/>
                    <w:textAlignment w:val="auto"/>
                    <w:rPr>
                      <w:rFonts w:hint="eastAsia" w:ascii="仿宋" w:hAnsi="仿宋" w:eastAsia="仿宋" w:cs="仿宋"/>
                      <w:color w:val="auto"/>
                      <w:sz w:val="20"/>
                      <w:szCs w:val="20"/>
                    </w:rPr>
                  </w:pPr>
                  <w:r>
                    <w:rPr>
                      <w:rFonts w:hint="eastAsia" w:ascii="仿宋" w:hAnsi="仿宋" w:eastAsia="仿宋" w:cs="仿宋"/>
                      <w:color w:val="auto"/>
                      <w:sz w:val="20"/>
                      <w:szCs w:val="20"/>
                    </w:rPr>
                    <w:t>≤2个工作日处理完成或给出计划与原因说明</w:t>
                  </w:r>
                </w:p>
              </w:tc>
            </w:tr>
          </w:tbl>
          <w:p w14:paraId="795B80F5">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4.4 升级与重大事件管理</w:t>
            </w:r>
          </w:p>
          <w:p w14:paraId="2AC5AE4E">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建立升级机制：P1事件须同步信息科负责人，必要时联动服务商后方专家与原厂商。</w:t>
            </w:r>
          </w:p>
          <w:p w14:paraId="5A8FA5FB">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重大事件复盘：形成复盘报告（原因、影响、处置过程、改进措施、预防方案、责任与完成时限），纳入知识库与整改台账。</w:t>
            </w:r>
          </w:p>
          <w:p w14:paraId="1696C9B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b/>
                <w:bCs/>
                <w:sz w:val="21"/>
                <w:szCs w:val="21"/>
                <w:highlight w:val="none"/>
                <w:lang w:val="en-US" w:eastAsia="zh-CN"/>
              </w:rPr>
            </w:pPr>
            <w:r>
              <w:rPr>
                <w:rFonts w:hint="default" w:ascii="仿宋" w:hAnsi="仿宋" w:eastAsia="仿宋" w:cs="仿宋"/>
                <w:b/>
                <w:bCs/>
                <w:sz w:val="21"/>
                <w:szCs w:val="21"/>
                <w:highlight w:val="none"/>
                <w:lang w:val="en-US" w:eastAsia="zh-CN"/>
              </w:rPr>
              <w:t>五、驻场管理与人员更换机制</w:t>
            </w:r>
          </w:p>
          <w:p w14:paraId="46776517">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1.驻场人员接受医院统一管理、调度、考勤与考核，与信息科人员协同工作。</w:t>
            </w:r>
          </w:p>
          <w:p w14:paraId="668FA11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2.人员不得随意更换；确需更换须提前1个月书面通知并完成交接。</w:t>
            </w:r>
          </w:p>
          <w:p w14:paraId="00DA5132">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3.医院有权要求更换不服从管理或能力不达标人员；服务商须在收到书面通知之日起10个工作日内完成更换并保障服务不断档。</w:t>
            </w:r>
          </w:p>
          <w:p w14:paraId="30B36B83">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4.驻场人员不得被服务商安排从事医院交办范围之外工作。</w:t>
            </w:r>
          </w:p>
          <w:p w14:paraId="1C5D50D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jc w:val="left"/>
              <w:textAlignment w:val="auto"/>
              <w:rPr>
                <w:rFonts w:hint="default" w:ascii="仿宋" w:hAnsi="仿宋" w:eastAsia="仿宋" w:cs="仿宋"/>
                <w:sz w:val="21"/>
                <w:szCs w:val="21"/>
                <w:highlight w:val="none"/>
                <w:lang w:val="en-US" w:eastAsia="zh-CN"/>
              </w:rPr>
            </w:pPr>
            <w:r>
              <w:rPr>
                <w:rFonts w:hint="default" w:ascii="仿宋" w:hAnsi="仿宋" w:eastAsia="仿宋" w:cs="仿宋"/>
                <w:sz w:val="21"/>
                <w:szCs w:val="21"/>
                <w:highlight w:val="none"/>
                <w:lang w:val="en-US" w:eastAsia="zh-CN"/>
              </w:rPr>
              <w:t>5.请假须经医院同意；服务商应提供替岗或保障措施。</w:t>
            </w:r>
          </w:p>
        </w:tc>
      </w:tr>
      <w:tr w14:paraId="30E1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trPr>
        <w:tc>
          <w:tcPr>
            <w:tcW w:w="1894" w:type="dxa"/>
            <w:vAlign w:val="center"/>
          </w:tcPr>
          <w:p w14:paraId="6603C558">
            <w:pPr>
              <w:pStyle w:val="2"/>
              <w:widowControl/>
              <w:shd w:val="clear" w:color="auto" w:fill="FFFFFF"/>
              <w:spacing w:before="0" w:beforeAutospacing="0" w:after="0" w:afterAutospacing="0" w:line="23" w:lineRule="atLeast"/>
              <w:jc w:val="center"/>
              <w:rPr>
                <w:rFonts w:hint="eastAsia" w:ascii="仿宋" w:hAnsi="仿宋" w:eastAsia="仿宋" w:cs="仿宋"/>
                <w:b/>
                <w:bCs w:val="0"/>
                <w:sz w:val="24"/>
                <w:szCs w:val="24"/>
                <w:highlight w:val="none"/>
                <w:shd w:val="clear" w:color="auto" w:fill="FFFFFF"/>
                <w:lang w:val="en-US" w:eastAsia="zh-CN"/>
              </w:rPr>
            </w:pPr>
            <w:r>
              <w:rPr>
                <w:rFonts w:hint="eastAsia" w:ascii="仿宋" w:hAnsi="仿宋" w:eastAsia="仿宋" w:cs="仿宋"/>
                <w:b/>
                <w:bCs w:val="0"/>
                <w:sz w:val="24"/>
                <w:szCs w:val="24"/>
                <w:highlight w:val="none"/>
                <w:shd w:val="clear" w:color="auto" w:fill="FFFFFF"/>
                <w:lang w:val="en-US" w:eastAsia="zh-CN"/>
              </w:rPr>
              <w:t>硬件设施要求</w:t>
            </w:r>
          </w:p>
        </w:tc>
        <w:tc>
          <w:tcPr>
            <w:tcW w:w="6628" w:type="dxa"/>
          </w:tcPr>
          <w:p w14:paraId="615EBA83">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无</w:t>
            </w:r>
          </w:p>
        </w:tc>
      </w:tr>
      <w:tr w14:paraId="7AB9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894" w:type="dxa"/>
            <w:vAlign w:val="center"/>
          </w:tcPr>
          <w:p w14:paraId="5607642D">
            <w:pPr>
              <w:pStyle w:val="2"/>
              <w:widowControl/>
              <w:shd w:val="clear" w:color="auto" w:fill="FFFFFF"/>
              <w:spacing w:before="0" w:beforeAutospacing="0" w:after="0" w:afterAutospacing="0" w:line="23" w:lineRule="atLeast"/>
              <w:jc w:val="center"/>
              <w:rPr>
                <w:rFonts w:hint="default" w:ascii="仿宋" w:hAnsi="仿宋" w:eastAsia="仿宋" w:cs="仿宋"/>
                <w:b w:val="0"/>
                <w:bCs/>
                <w:sz w:val="30"/>
                <w:szCs w:val="30"/>
                <w:highlight w:val="none"/>
                <w:shd w:val="clear" w:color="auto" w:fill="FFFFFF"/>
                <w:lang w:val="en-US" w:eastAsia="zh-CN"/>
              </w:rPr>
            </w:pPr>
            <w:r>
              <w:rPr>
                <w:rFonts w:hint="eastAsia" w:ascii="仿宋" w:hAnsi="仿宋" w:eastAsia="仿宋" w:cs="仿宋"/>
                <w:b/>
                <w:bCs w:val="0"/>
                <w:sz w:val="24"/>
                <w:szCs w:val="24"/>
                <w:highlight w:val="none"/>
                <w:shd w:val="clear" w:color="auto" w:fill="FFFFFF"/>
                <w:lang w:val="en-US" w:eastAsia="zh-CN"/>
              </w:rPr>
              <w:t>数据与接口能力要求</w:t>
            </w:r>
          </w:p>
        </w:tc>
        <w:tc>
          <w:tcPr>
            <w:tcW w:w="6628" w:type="dxa"/>
          </w:tcPr>
          <w:p w14:paraId="358A1C1A">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无</w:t>
            </w:r>
          </w:p>
        </w:tc>
      </w:tr>
      <w:tr w14:paraId="2A7E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94" w:type="dxa"/>
            <w:vAlign w:val="center"/>
          </w:tcPr>
          <w:p w14:paraId="5C88DCDA">
            <w:pPr>
              <w:pStyle w:val="2"/>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仿宋" w:hAnsi="仿宋" w:eastAsia="仿宋" w:cs="仿宋"/>
                <w:b w:val="0"/>
                <w:bCs/>
                <w:sz w:val="30"/>
                <w:szCs w:val="30"/>
                <w:highlight w:val="none"/>
                <w:shd w:val="clear" w:color="auto" w:fill="FFFFFF"/>
                <w:lang w:val="en-US" w:eastAsia="zh-CN"/>
              </w:rPr>
            </w:pPr>
            <w:r>
              <w:rPr>
                <w:rFonts w:hint="eastAsia" w:ascii="仿宋" w:hAnsi="仿宋" w:eastAsia="仿宋" w:cs="仿宋"/>
                <w:b/>
                <w:bCs w:val="0"/>
                <w:sz w:val="24"/>
                <w:szCs w:val="24"/>
                <w:highlight w:val="none"/>
                <w:shd w:val="clear" w:color="auto" w:fill="FFFFFF"/>
                <w:lang w:val="en-US" w:eastAsia="zh-CN"/>
              </w:rPr>
              <w:t>信息安全要求</w:t>
            </w:r>
          </w:p>
        </w:tc>
        <w:tc>
          <w:tcPr>
            <w:tcW w:w="6628" w:type="dxa"/>
          </w:tcPr>
          <w:p w14:paraId="6172C6A2">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六、保密与信息安全责任：</w:t>
            </w:r>
          </w:p>
          <w:p w14:paraId="5E260E69">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1.服务商须与医院签订保密协议；驻场人员签署个人保密承诺书并完成保密培训。</w:t>
            </w:r>
          </w:p>
          <w:p w14:paraId="54A06986">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2.驻场人员信息报备并配合政治审查/保密审查，合格后方可上岗。</w:t>
            </w:r>
          </w:p>
          <w:p w14:paraId="7B68591D">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服务商对驻场人员行为管理、信息安全事件及由此造成的损失承担责任；医院按合同约定追责。</w:t>
            </w:r>
          </w:p>
          <w:p w14:paraId="01485612">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3.未经医院同意不得转包、分包本项目服务内容。</w:t>
            </w:r>
          </w:p>
          <w:p w14:paraId="0DE12267">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4.驻场过程中形成的文档、脚本、配置记录（不含服务商自有通用工具知识产权部分）应按医院要求归档移交，确保运维连续性。</w:t>
            </w:r>
          </w:p>
        </w:tc>
      </w:tr>
      <w:tr w14:paraId="0668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894" w:type="dxa"/>
            <w:vAlign w:val="center"/>
          </w:tcPr>
          <w:p w14:paraId="6FCA8396">
            <w:pPr>
              <w:pStyle w:val="2"/>
              <w:widowControl/>
              <w:shd w:val="clear" w:color="auto" w:fill="FFFFFF"/>
              <w:spacing w:before="0" w:beforeAutospacing="0" w:after="0" w:afterAutospacing="0" w:line="23" w:lineRule="atLeast"/>
              <w:jc w:val="center"/>
              <w:rPr>
                <w:rFonts w:hint="eastAsia" w:ascii="仿宋" w:hAnsi="仿宋" w:eastAsia="仿宋" w:cs="仿宋"/>
                <w:b w:val="0"/>
                <w:bCs/>
                <w:sz w:val="30"/>
                <w:szCs w:val="30"/>
                <w:highlight w:val="none"/>
                <w:shd w:val="clear" w:color="auto" w:fill="FFFFFF"/>
                <w:lang w:val="en-US" w:eastAsia="zh-CN"/>
              </w:rPr>
            </w:pPr>
            <w:r>
              <w:rPr>
                <w:rFonts w:hint="eastAsia" w:ascii="仿宋" w:hAnsi="仿宋" w:eastAsia="仿宋" w:cs="仿宋"/>
                <w:b/>
                <w:bCs w:val="0"/>
                <w:sz w:val="24"/>
                <w:szCs w:val="24"/>
                <w:highlight w:val="none"/>
                <w:shd w:val="clear" w:color="auto" w:fill="FFFFFF"/>
                <w:lang w:val="en-US" w:eastAsia="zh-CN"/>
              </w:rPr>
              <w:t>实施及售后要求</w:t>
            </w:r>
          </w:p>
        </w:tc>
        <w:tc>
          <w:tcPr>
            <w:tcW w:w="6628" w:type="dxa"/>
          </w:tcPr>
          <w:p w14:paraId="75896582">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七、服务质量保障、考核与验收</w:t>
            </w:r>
          </w:p>
          <w:p w14:paraId="3A80462E">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7.1 考核指标</w:t>
            </w:r>
          </w:p>
          <w:p w14:paraId="0A08446C">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服务质量达成率</w:t>
            </w:r>
          </w:p>
          <w:p w14:paraId="32217A21">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工单闭环率/按期完成率</w:t>
            </w:r>
          </w:p>
          <w:p w14:paraId="3691F351">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巡检报告准时率与质量</w:t>
            </w:r>
          </w:p>
          <w:p w14:paraId="4008337C">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知识库新增/更新数量与可用性</w:t>
            </w:r>
          </w:p>
          <w:p w14:paraId="5C3549FF">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需求台账推进率与交付满意度</w:t>
            </w:r>
          </w:p>
          <w:p w14:paraId="17551434">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用户满意度（抽样回访/问卷）</w:t>
            </w:r>
          </w:p>
          <w:p w14:paraId="133CFB83">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重大事件次数与整改完成率</w:t>
            </w:r>
          </w:p>
          <w:p w14:paraId="15C21BF8">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驻场到岗率/到岗人天满足率（按月/季度统计，关键岗位缺岗计入扣分）</w:t>
            </w:r>
          </w:p>
          <w:p w14:paraId="0FA79CC9">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专项人工成本履约合规性（工资社保按承诺足额发放/缴纳、资料可核验）</w:t>
            </w:r>
          </w:p>
          <w:p w14:paraId="5CBC786B">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7.2 例行报告与交付物</w:t>
            </w:r>
          </w:p>
          <w:p w14:paraId="18A0C13A">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周报：计划/完成/未结事项/风险与需协调事项。</w:t>
            </w:r>
          </w:p>
          <w:p w14:paraId="793ED0C7">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月报：系统运行概况、故障统计与复盘要点、巡检与风险隐患、需求台账进展、知识库更新、变更/发布情况等。</w:t>
            </w:r>
          </w:p>
          <w:p w14:paraId="0A70E58F">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资产清单与拓扑/架构文档：首次梳理成果+更新记录。</w:t>
            </w:r>
          </w:p>
          <w:p w14:paraId="7AF18525">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期末总结与交接：资料移交清单、知识库导出/归档、未完成事项与后续建议。</w:t>
            </w:r>
          </w:p>
          <w:p w14:paraId="463CB48F">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7.3 验收方式</w:t>
            </w:r>
          </w:p>
          <w:p w14:paraId="54D76CEE">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阶段验收：按月度/季度对交付物与考核指标抽查确认；季度验收合格后方可进入该季度付款流程。</w:t>
            </w:r>
          </w:p>
          <w:p w14:paraId="42FC9E5A">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期末验收：对全年交付物、台账、知识库、拓扑资产文档、SLA统计与整改闭环进行综合验收，并完成交接签字。</w:t>
            </w:r>
          </w:p>
          <w:p w14:paraId="679600C9">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对重大安全事件或重大业务中断，医院可按合同追责、索赔并视情况终止合同。</w:t>
            </w:r>
          </w:p>
          <w:p w14:paraId="56C9410F">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八、付款与结算方式</w:t>
            </w:r>
          </w:p>
          <w:p w14:paraId="163A5387">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8.1 费用构成与审计监督</w:t>
            </w:r>
          </w:p>
          <w:p w14:paraId="76C3F521">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为防范资金挪用与压缩人员成本等风险，本项目设置如下强制性要求：</w:t>
            </w:r>
          </w:p>
          <w:p w14:paraId="3E9375C4">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报价分解要求：投标总报价须在《报价明细表》中明确划分为两部分：（1）专项人工成本：用于支付不少于3名驻场人员的劳动报酬、福利、服务商依法承担的五险一金、个税代扣代缴等与用工直接相关费用；（2）服务管理费：包含服务商管理成本、培训/招聘成本、后方专家支持、办公/管理费用、税费及合理利润等。</w:t>
            </w:r>
          </w:p>
          <w:p w14:paraId="43CDDE33">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2.人工成本最低投入承诺：服务商承诺专项人工成本专款专用，且不得低于其投标文件承诺的专项人工成本金额；同时驻场人员人均综合年薪（含五险一金）不得低于本需求文件约定的最低标准（9.6万元）。</w:t>
            </w:r>
          </w:p>
          <w:p w14:paraId="62878F92">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核查与审计配合：医院有权对专项人工成本履约情况进行核查。服务商应按医院要求提供与专项人工成本相关的证明材料（如工资发放凭证、社保/公积金缴纳凭证等），可对个人敏感信息进行必要脱敏，但应保证可核验真实性与对应关系。</w:t>
            </w:r>
          </w:p>
          <w:p w14:paraId="0DD3ED25">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差额返还/扣减机制：合同期满或终止时，如经医院审计/核查确认服务商实际投入的专项人工成本低于其投标承诺专项人工成本金额（且无经医院书面确认的合理原因），医院有权在结算时扣减差额并要求服务商返还；如应付尾款不足以覆盖差额，服务商应在医院书面通知后按约定期限补足返还。</w:t>
            </w:r>
          </w:p>
          <w:p w14:paraId="5EF81190">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5.违约责任衔接：专项人工成本未按承诺投入、克扣驻场人员薪酬社保或弄虚作假提供材料的，视为重大违约，医院可依据合同约定追究违约责任并视情况终止合同。</w:t>
            </w:r>
          </w:p>
          <w:p w14:paraId="65F7D650">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8.2 付款原则</w:t>
            </w:r>
          </w:p>
          <w:p w14:paraId="09988B25">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分期支付、过程绩效挂钩、验收合格后结清。</w:t>
            </w:r>
          </w:p>
          <w:p w14:paraId="2458A78D">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8.3 付款方式</w:t>
            </w:r>
          </w:p>
          <w:p w14:paraId="36353DE3">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1.合同签订生效15工作日，支付合同总价的30%作为预付款；</w:t>
            </w:r>
          </w:p>
          <w:p w14:paraId="3DDBA5C7">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2.服务期满6个月后，按合同总价的30%支付。考核未达标的，医院有权暂缓支付、扣减支付比例或要求整改后支付；</w:t>
            </w:r>
          </w:p>
          <w:p w14:paraId="2C5D13F8">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3.合同期满，完成最终验收合格并完成资料交接，同时完成专项人工成本履约核查后，支付剩余10%尾款。</w:t>
            </w:r>
          </w:p>
          <w:p w14:paraId="131FBC95">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4.服务商应提供符合财务结算要求的发票及阶段性交付物确认材料；涉及专项人工成本履约核查的资料按“8.1条”执行。</w:t>
            </w:r>
          </w:p>
        </w:tc>
      </w:tr>
    </w:tbl>
    <w:p w14:paraId="2456B2B9">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embedRegular r:id="rId1" w:fontKey="{75F8DBED-E740-40BD-954D-A9D4A24886E0}"/>
  </w:font>
  <w:font w:name="仿宋">
    <w:panose1 w:val="02010609060101010101"/>
    <w:charset w:val="86"/>
    <w:family w:val="auto"/>
    <w:pitch w:val="default"/>
    <w:sig w:usb0="800002BF" w:usb1="38CF7CFA" w:usb2="00000016" w:usb3="00000000" w:csb0="00040001" w:csb1="00000000"/>
    <w:embedRegular r:id="rId2" w:fontKey="{24982865-8F83-4793-A1D7-4C46F21828B1}"/>
  </w:font>
  <w:font w:name="仿宋_GB2312">
    <w:panose1 w:val="02010609030101010101"/>
    <w:charset w:val="86"/>
    <w:family w:val="auto"/>
    <w:pitch w:val="default"/>
    <w:sig w:usb0="00000001" w:usb1="080E0000" w:usb2="00000000" w:usb3="00000000" w:csb0="00040000" w:csb1="00000000"/>
    <w:embedRegular r:id="rId3" w:fontKey="{250AABBC-51A0-4D3A-8975-DDC178551436}"/>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E1EC3"/>
    <w:multiLevelType w:val="singleLevel"/>
    <w:tmpl w:val="87FE1EC3"/>
    <w:lvl w:ilvl="0" w:tentative="0">
      <w:start w:val="1"/>
      <w:numFmt w:val="bullet"/>
      <w:pStyle w:val="6"/>
      <w:lvlText w:val=""/>
      <w:lvlJc w:val="left"/>
      <w:pPr>
        <w:tabs>
          <w:tab w:val="left" w:pos="360"/>
        </w:tabs>
        <w:ind w:left="360" w:hanging="360"/>
      </w:pPr>
      <w:rPr>
        <w:rFonts w:hint="default" w:ascii="Wingdings" w:hAnsi="Wingdings"/>
      </w:rPr>
    </w:lvl>
  </w:abstractNum>
  <w:abstractNum w:abstractNumId="1">
    <w:nsid w:val="65F172A9"/>
    <w:multiLevelType w:val="singleLevel"/>
    <w:tmpl w:val="65F172A9"/>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04"/>
    <w:rsid w:val="00663F69"/>
    <w:rsid w:val="00783CAB"/>
    <w:rsid w:val="007F3D04"/>
    <w:rsid w:val="00CD1532"/>
    <w:rsid w:val="00F3008E"/>
    <w:rsid w:val="018031C8"/>
    <w:rsid w:val="0D187F42"/>
    <w:rsid w:val="14A3156B"/>
    <w:rsid w:val="192D5062"/>
    <w:rsid w:val="2DA94DC3"/>
    <w:rsid w:val="308455A5"/>
    <w:rsid w:val="360867E3"/>
    <w:rsid w:val="37526646"/>
    <w:rsid w:val="453A340E"/>
    <w:rsid w:val="49470DB6"/>
    <w:rsid w:val="4AF40974"/>
    <w:rsid w:val="4AF636D5"/>
    <w:rsid w:val="4DD802BF"/>
    <w:rsid w:val="4E1C1427"/>
    <w:rsid w:val="4F7FBFFC"/>
    <w:rsid w:val="4FDD6074"/>
    <w:rsid w:val="50653C2E"/>
    <w:rsid w:val="563BC734"/>
    <w:rsid w:val="58F130E8"/>
    <w:rsid w:val="59FE261C"/>
    <w:rsid w:val="5D657DA8"/>
    <w:rsid w:val="69EA5DD9"/>
    <w:rsid w:val="6B705AE9"/>
    <w:rsid w:val="6CBC5C65"/>
    <w:rsid w:val="6DE03A44"/>
    <w:rsid w:val="6DF01B97"/>
    <w:rsid w:val="75BF6CF0"/>
    <w:rsid w:val="790A575E"/>
    <w:rsid w:val="7BFF453B"/>
    <w:rsid w:val="7C7A391E"/>
    <w:rsid w:val="DDEF35FE"/>
    <w:rsid w:val="F33EC263"/>
    <w:rsid w:val="F7B333C1"/>
    <w:rsid w:val="FD7D2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List Bullet"/>
    <w:basedOn w:val="1"/>
    <w:qFormat/>
    <w:uiPriority w:val="0"/>
    <w:pPr>
      <w:numPr>
        <w:ilvl w:val="0"/>
        <w:numId w:val="2"/>
      </w:numPr>
    </w:pPr>
  </w:style>
  <w:style w:type="paragraph" w:styleId="7">
    <w:name w:val="annotation text"/>
    <w:basedOn w:val="1"/>
    <w:qFormat/>
    <w:uiPriority w:val="0"/>
    <w:pPr>
      <w:jc w:val="left"/>
    </w:pPr>
  </w:style>
  <w:style w:type="paragraph" w:styleId="8">
    <w:name w:val="footer"/>
    <w:basedOn w:val="1"/>
    <w:link w:val="16"/>
    <w:qFormat/>
    <w:uiPriority w:val="0"/>
    <w:pPr>
      <w:tabs>
        <w:tab w:val="center" w:pos="4153"/>
        <w:tab w:val="right" w:pos="8306"/>
      </w:tabs>
      <w:snapToGrid w:val="0"/>
      <w:spacing w:line="240" w:lineRule="auto"/>
      <w:jc w:val="left"/>
    </w:pPr>
    <w:rPr>
      <w:sz w:val="18"/>
      <w:szCs w:val="18"/>
    </w:rPr>
  </w:style>
  <w:style w:type="paragraph" w:styleId="9">
    <w:name w:val="header"/>
    <w:basedOn w:val="1"/>
    <w:link w:val="15"/>
    <w:qFormat/>
    <w:uiPriority w:val="0"/>
    <w:pPr>
      <w:tabs>
        <w:tab w:val="center" w:pos="4153"/>
        <w:tab w:val="right" w:pos="8306"/>
      </w:tabs>
      <w:snapToGrid w:val="0"/>
      <w:spacing w:line="240" w:lineRule="auto"/>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页眉 字符"/>
    <w:basedOn w:val="13"/>
    <w:link w:val="9"/>
    <w:qFormat/>
    <w:uiPriority w:val="0"/>
    <w:rPr>
      <w:rFonts w:ascii="Calibri" w:hAnsi="Calibri"/>
      <w:kern w:val="2"/>
      <w:sz w:val="18"/>
      <w:szCs w:val="18"/>
    </w:rPr>
  </w:style>
  <w:style w:type="character" w:customStyle="1" w:styleId="16">
    <w:name w:val="页脚 字符"/>
    <w:basedOn w:val="13"/>
    <w:link w:val="8"/>
    <w:qFormat/>
    <w:uiPriority w:val="0"/>
    <w:rPr>
      <w:rFonts w:ascii="Calibri" w:hAnsi="Calibri"/>
      <w:kern w:val="2"/>
      <w:sz w:val="18"/>
      <w:szCs w:val="18"/>
    </w:rPr>
  </w:style>
  <w:style w:type="character" w:customStyle="1" w:styleId="17">
    <w:name w:val="font61"/>
    <w:basedOn w:val="13"/>
    <w:qFormat/>
    <w:uiPriority w:val="0"/>
    <w:rPr>
      <w:rFonts w:hint="default" w:ascii="微软雅黑" w:hAnsi="微软雅黑" w:eastAsia="微软雅黑" w:cs="微软雅黑"/>
      <w:color w:val="000000"/>
      <w:sz w:val="24"/>
      <w:szCs w:val="24"/>
      <w:u w:val="none"/>
    </w:rPr>
  </w:style>
  <w:style w:type="character" w:customStyle="1" w:styleId="18">
    <w:name w:val="font71"/>
    <w:basedOn w:val="13"/>
    <w:qFormat/>
    <w:uiPriority w:val="0"/>
    <w:rPr>
      <w:rFonts w:ascii="Wingdings 2" w:hAnsi="Wingdings 2" w:eastAsia="Wingdings 2" w:cs="Wingdings 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5811</Words>
  <Characters>5930</Characters>
  <Lines>1</Lines>
  <Paragraphs>1</Paragraphs>
  <TotalTime>15</TotalTime>
  <ScaleCrop>false</ScaleCrop>
  <LinksUpToDate>false</LinksUpToDate>
  <CharactersWithSpaces>5966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2025-02-19T16:48:00Z</dcterms:created>
  <dc:creator>Administrator</dc:creator>
  <cp:lastModifiedBy>lxx</cp:lastModifiedBy>
  <cp:lastPrinted>2025-06-23T14:29:00Z</cp:lastPrinted>
  <dcterms:modified xsi:type="dcterms:W3CDTF">2025-12-09T08:59:14Z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eyJoZGlkIjoiZjkwMWMyMmQ4NGVmMmQyZTkyNTY1ODg4ZWRiM2IxZWMiLCJ1c2VySWQiOiIyNjA5Mjc0NjMifQ==</vt:lpwstr>
  </property>
  <property fmtid="{D5CDD505-2E9C-101B-9397-08002B2CF9AE}" pid="4" name="ICV">
    <vt:lpwstr>445BEBA4A9BD43B399068162A135910B_13</vt:lpwstr>
  </property>
</Properties>
</file>